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DD" w:rsidRDefault="004C619D">
      <w:r>
        <w:rPr>
          <w:rFonts w:ascii="Arial" w:hAnsi="Arial" w:cs="Arial"/>
          <w:color w:val="404040"/>
          <w:sz w:val="20"/>
          <w:szCs w:val="20"/>
          <w:u w:val="single"/>
          <w:shd w:val="clear" w:color="auto" w:fill="F6F6F6"/>
        </w:rPr>
        <w:t>ПОРЯДОК РАБОТЫ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>1. Выберите подходящий пломбировочный материал по шкале оттенков при естественном освещении. Удалите губную помаду, если это необходимо.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 xml:space="preserve">2. Изолируйте зуб с помощью резиновой полоски или ватных шариков. Рекомендуется также использование </w:t>
      </w:r>
      <w:proofErr w:type="spellStart"/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>слюноотсоса</w:t>
      </w:r>
      <w:proofErr w:type="spellEnd"/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>.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 xml:space="preserve">А. Пломбирование передних зубов </w:t>
      </w:r>
      <w:proofErr w:type="gramStart"/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 xml:space="preserve">( </w:t>
      </w:r>
      <w:proofErr w:type="gramEnd"/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>класс III, IV и V).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 xml:space="preserve">1. Наложите прокладочный материал </w:t>
      </w:r>
      <w:proofErr w:type="spellStart"/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>Витребонд</w:t>
      </w:r>
      <w:proofErr w:type="spellEnd"/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 xml:space="preserve">. </w:t>
      </w:r>
      <w:proofErr w:type="gramStart"/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>Облучите светом в течение 30 сек</w:t>
      </w:r>
      <w:proofErr w:type="gramEnd"/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 xml:space="preserve">, (используя </w:t>
      </w:r>
      <w:proofErr w:type="spellStart"/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>галогеновую</w:t>
      </w:r>
      <w:proofErr w:type="spellEnd"/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 xml:space="preserve"> лампу типа XL-1000). При глубоком кариесе или вскрытой пульпе предварительно накладываются материалы на основе </w:t>
      </w:r>
      <w:proofErr w:type="spellStart"/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>гидроксида</w:t>
      </w:r>
      <w:proofErr w:type="spellEnd"/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 xml:space="preserve"> кальция.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 xml:space="preserve">2. Используйте многоцелевую систему адгезии (протравочный гель, </w:t>
      </w:r>
      <w:proofErr w:type="spellStart"/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>праймер</w:t>
      </w:r>
      <w:proofErr w:type="spellEnd"/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 xml:space="preserve">, </w:t>
      </w:r>
      <w:proofErr w:type="spellStart"/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>адгезив</w:t>
      </w:r>
      <w:proofErr w:type="spellEnd"/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>).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 xml:space="preserve">3. После использования </w:t>
      </w:r>
      <w:proofErr w:type="spellStart"/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>адгезива</w:t>
      </w:r>
      <w:proofErr w:type="spellEnd"/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 xml:space="preserve"> рекомендуется применять матрицы.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>4. Нанесение пломбировочного материала: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>- выдавите необходимое количество пломбировочного материала на бумажку для смешивания, медленно поворачивая поршень по часовой стрелке. Для предотвращения избыточного выделения материала, поверните поршень на пол-оборота против часовой стрелки. Немедленно закройте шприц. При отсроченном использовании материала избегайте попадания света</w:t>
      </w:r>
      <w:proofErr w:type="gramStart"/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>.</w:t>
      </w:r>
      <w:proofErr w:type="gramEnd"/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 xml:space="preserve">- </w:t>
      </w:r>
      <w:proofErr w:type="gramStart"/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>и</w:t>
      </w:r>
      <w:proofErr w:type="gramEnd"/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>спользуя инструмент, наложите пломбировочный материал в обработанную полость с избытком с целью полного заполнения. Последующие формирование пломбы производится с помощью инструментария.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 xml:space="preserve">5. </w:t>
      </w:r>
      <w:proofErr w:type="gramStart"/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>Проведите светолечение в течение 40 сек</w:t>
      </w:r>
      <w:proofErr w:type="gramEnd"/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 xml:space="preserve">, используя лампу XL-1000 или аналогичные лампы сравнимой мощности. Держите </w:t>
      </w:r>
      <w:proofErr w:type="spellStart"/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>световод</w:t>
      </w:r>
      <w:proofErr w:type="spellEnd"/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 xml:space="preserve"> как можно ближе к пломбировочному материалу. Толщина облучаемого слоя не должна превышать 2,5 мм.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 xml:space="preserve">6. Обработайте затвердевшую пломбу с помощью алмазных боров или камней. Контактные поверхности обработайте шлифовальными полосками </w:t>
      </w:r>
      <w:proofErr w:type="spellStart"/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>Sof-Lex</w:t>
      </w:r>
      <w:proofErr w:type="spellEnd"/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 xml:space="preserve"> </w:t>
      </w:r>
      <w:proofErr w:type="spellStart"/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>Finishing</w:t>
      </w:r>
      <w:proofErr w:type="spellEnd"/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 xml:space="preserve"> </w:t>
      </w:r>
      <w:proofErr w:type="spellStart"/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>Strips</w:t>
      </w:r>
      <w:proofErr w:type="spellEnd"/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>.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 xml:space="preserve">7. Проверьте окклюзию с помощью специальных </w:t>
      </w:r>
      <w:proofErr w:type="spellStart"/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>прикусных</w:t>
      </w:r>
      <w:proofErr w:type="spellEnd"/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 xml:space="preserve"> бумажек. Удалите избыток материала полировочными алмазными борами или камнями.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 xml:space="preserve">8. Окончательную полировку проведите с помощью дисков и полировочных полосок </w:t>
      </w:r>
      <w:proofErr w:type="spellStart"/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>Sof-Lex</w:t>
      </w:r>
      <w:proofErr w:type="spellEnd"/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>.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>Б. Пломбирование задних (жевательных) зубов (класс I и II)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>1. см</w:t>
      </w:r>
      <w:proofErr w:type="gramStart"/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 xml:space="preserve"> .</w:t>
      </w:r>
      <w:proofErr w:type="gramEnd"/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 xml:space="preserve"> А.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>2. см.А.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 xml:space="preserve">3. Рекомендуется применение матриц после наложения </w:t>
      </w:r>
      <w:proofErr w:type="spellStart"/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>адгезива</w:t>
      </w:r>
      <w:proofErr w:type="spellEnd"/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 xml:space="preserve"> с использованием стоматологических клинышков для лучшей фиксации матрицы и лучшего воссоздания пломбировочным материалом анатомической формы зуба.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 xml:space="preserve">4. Нанесение пломбировочного материала: Отличие от пломбирования передних зубов заключается в послойном нанесении пломбировочного материала. Толщина первого слоя не должна превышать 1,5 мм. Материал наносится на дно подготовленной полости “треугольниками” (форма подковы или буквы “Y”) </w:t>
      </w:r>
      <w:proofErr w:type="spellStart"/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>i</w:t>
      </w:r>
      <w:proofErr w:type="spellEnd"/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 xml:space="preserve"> тщательно утрамбовывается неметаллическим инструментом (</w:t>
      </w:r>
      <w:proofErr w:type="spellStart"/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>штопфером</w:t>
      </w:r>
      <w:proofErr w:type="spellEnd"/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>). Толщина каждого последующего слоя не должна превышать 2,5 мм.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 xml:space="preserve">5. </w:t>
      </w:r>
      <w:proofErr w:type="spellStart"/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>Светооблучение</w:t>
      </w:r>
      <w:proofErr w:type="spellEnd"/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 xml:space="preserve"> каждого слоя </w:t>
      </w:r>
      <w:proofErr w:type="gramStart"/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>проводится в течение 40 сек</w:t>
      </w:r>
      <w:proofErr w:type="gramEnd"/>
      <w:r>
        <w:rPr>
          <w:rFonts w:ascii="Trebuchet MS" w:hAnsi="Trebuchet MS"/>
          <w:color w:val="404040"/>
          <w:sz w:val="20"/>
          <w:szCs w:val="20"/>
          <w:shd w:val="clear" w:color="auto" w:fill="F6F6F6"/>
        </w:rPr>
        <w:t>, с использованием ламп типа XL-1000 или аналогичных по мощности.</w:t>
      </w:r>
    </w:p>
    <w:sectPr w:rsidR="003F53DD" w:rsidSect="00261C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C619D"/>
    <w:rsid w:val="00261C77"/>
    <w:rsid w:val="003F53DD"/>
    <w:rsid w:val="004C619D"/>
    <w:rsid w:val="00E1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2014-07-31T13:57:00Z</dcterms:created>
  <dcterms:modified xsi:type="dcterms:W3CDTF">2014-07-31T13:58:00Z</dcterms:modified>
</cp:coreProperties>
</file>